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4.png" ContentType="image/png"/>
  <Override PartName="/word/media/rId90.png" ContentType="image/png"/>
  <Override PartName="/word/media/rId93.png" ContentType="image/png"/>
  <Override PartName="/word/media/rId87.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Transcriptome</w:t>
      </w:r>
      <w:r>
        <w:t xml:space="preserve"> </w:t>
      </w:r>
      <w:r>
        <w:t xml:space="preserve">Profile</w:t>
      </w:r>
      <w:r>
        <w:t xml:space="preserve"> </w:t>
      </w:r>
      <w:r>
        <w:t xml:space="preserve">of</w:t>
      </w:r>
      <w:r>
        <w:t xml:space="preserve"> </w:t>
      </w:r>
      <w:r>
        <w:t xml:space="preserve">a</w:t>
      </w:r>
      <w:r>
        <w:t xml:space="preserve"> </w:t>
      </w:r>
      <w:r>
        <w:t xml:space="preserve">Turkey</w:t>
      </w:r>
      <w:r>
        <w:t xml:space="preserve"> </w:t>
      </w:r>
      <w:r>
        <w:t xml:space="preserve">B-cell</w:t>
      </w:r>
      <w:r>
        <w:t xml:space="preserve"> </w:t>
      </w:r>
      <w:r>
        <w:t xml:space="preserve">Line</w:t>
      </w:r>
      <w:r>
        <w:t xml:space="preserve"> </w:t>
      </w:r>
      <w:r>
        <w:t xml:space="preserve">Upon</w:t>
      </w:r>
      <w:r>
        <w:t xml:space="preserve"> </w:t>
      </w:r>
      <w:r>
        <w:t xml:space="preserve">Infection</w:t>
      </w:r>
      <w:r>
        <w:t xml:space="preserve"> </w:t>
      </w:r>
      <w:r>
        <w:t xml:space="preserve">With</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mechanisms/pathways influenced by the virus to bring about IMS. In this study, we present the first transcriptomic profile of a THEV infection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gprofiler2 (version</w:t>
      </w:r>
      <w:r>
        <w:t xml:space="preserve"> </w:t>
      </w:r>
      <w:r>
        <w:rPr>
          <w:b/>
          <w:bCs/>
        </w:rPr>
        <w:t xml:space="preserve">0.2.3</w:t>
      </w:r>
      <w:r>
        <w:t xml:space="preserve">) R package</w:t>
      </w:r>
      <w:r>
        <w:t xml:space="preserve"> </w:t>
      </w:r>
      <w:r>
        <w:t xml:space="preserve">(21)</w:t>
      </w:r>
      <w:r>
        <w:t xml:space="preserve">, which outputs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GO enrichment analyses results at 12-hpi and 24-hpi showed significant similarities among all three GO categories. At both 12 and 24-hpi,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biological processes (BP) category broadly cluster into: apoptosis, catabolic processes, cellular metabolism, response to stimuli, and protein processing (</w:t>
      </w:r>
      <w:r>
        <w:rPr>
          <w:b/>
          <w:bCs/>
        </w:rPr>
        <w:t xml:space="preserve">Figure 4A</w:t>
      </w:r>
      <w:r>
        <w:t xml:space="preserve">). Under the cellular components (CP) GO category, the GO terms relate with cytoplasmic vacuolation while the GO terms under the molecular functions (MF) category broadly fit under protein binding (</w:t>
      </w:r>
      <w:r>
        <w:rPr>
          <w:b/>
          <w:bCs/>
        </w:rPr>
        <w:t xml:space="preserve">Table 2A</w:t>
      </w:r>
      <w:r>
        <w:t xml:space="preserve">). For the downregulated DEGs, the GO terms in BP category generally fall under: translation, protein biosynthesis and folding; ribosome biogenesis; nitrogen compound metabolism; nucleic acid synthesis, metabolism, processing, and replication; and energy metabolism (</w:t>
      </w:r>
      <w:r>
        <w:rPr>
          <w:b/>
          <w:bCs/>
        </w:rPr>
        <w:t xml:space="preserve">Figure 4C</w:t>
      </w:r>
      <w:r>
        <w:t xml:space="preserve">). As for the CC category GO terms, they broadly group into: ribosome, mitochondria, respirosome, and nucleus while the MF category GO terms belong to: translation regulator activity and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catabolic process, protein ubiquitination and proteolysis, cell signalling, and cell metabolism (</w:t>
      </w:r>
      <w:r>
        <w:rPr>
          <w:b/>
          <w:bCs/>
        </w:rPr>
        <w:t xml:space="preserve">Figure 4B</w:t>
      </w:r>
      <w:r>
        <w:t xml:space="preserve">). The GO terms of the CC category, similar to those identified at 12-hpi, are also related with cytoplasmic vacuolation. The MF category GO terms group into: protein ubiquitination activity,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DNA replication (</w:t>
      </w:r>
      <w:r>
        <w:rPr>
          <w:b/>
          <w:bCs/>
        </w:rPr>
        <w:t xml:space="preserve">Figure 4D</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r>
        <w:br w:type="page"/>
      </w:r>
    </w:p>
    <w:bookmarkEnd w:id="23"/>
    <w:bookmarkStart w:id="24" w:name="discussion"/>
    <w:p>
      <w:pPr>
        <w:pStyle w:val="Heading2"/>
      </w:pPr>
      <w:r>
        <w:t xml:space="preserve">DISCUSSION</w:t>
      </w:r>
    </w:p>
    <w:p>
      <w:r>
        <w:br w:type="page"/>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(22)</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(23)</w:t>
      </w:r>
      <w:r>
        <w:t xml:space="preserve">, a popular workflow management system to drive the pipeline. Briefly, raw sequencing reads were trimmed with Cutadapt - version 1.10</w:t>
      </w:r>
      <w:r>
        <w:t xml:space="preserve"> </w:t>
      </w:r>
      <w:r>
        <w:t xml:space="preserve">(24)</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(21)</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w:t>
      </w:r>
      <w:r>
        <w:t xml:space="preserve"> </w:t>
      </w:r>
      <w:r>
        <w:rPr>
          <w:strike/>
        </w:rPr>
        <w:t xml:space="preserve">Additionally, the DAVID analysis tool was used for KEGG pathway analysis</w:t>
      </w:r>
      <w:r>
        <w:t xml:space="preserve">. All visualization plots were made using ggplot2, pheatmap, and ggvenn R packages</w:t>
      </w:r>
      <w:r>
        <w:t xml:space="preserve"> </w:t>
      </w:r>
      <w:r>
        <w:t xml:space="preserve">(25–27)</w:t>
      </w:r>
      <w:r>
        <w:t xml:space="preserve">. Venn diagram —</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83" w:name="references"/>
    <w:p>
      <w:pPr>
        <w:pStyle w:val="Heading2"/>
      </w:pPr>
      <w:r>
        <w:t xml:space="preserve">REFERENCES</w:t>
      </w:r>
    </w:p>
    <w:p>
      <w:pPr>
        <w:pStyle w:val="FirstParagraph"/>
      </w:pPr>
    </w:p>
    <w:bookmarkStart w:id="82"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69" w:name="ref-Gprofiler2"/>
    <w:p>
      <w:pPr>
        <w:pStyle w:val="Bibliography"/>
      </w:pPr>
      <w:r>
        <w:t xml:space="preserve">21.</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69"/>
    <w:bookmarkStart w:id="71" w:name="ref-Mahsoub2017"/>
    <w:p>
      <w:pPr>
        <w:pStyle w:val="Bibliography"/>
      </w:pPr>
      <w:r>
        <w:t xml:space="preserve">22.</w:t>
      </w:r>
      <w:r>
        <w:t xml:space="preserve"> </w:t>
      </w:r>
      <w:r>
        <w:t xml:space="preserve">	</w:t>
      </w:r>
      <w:r>
        <w:t xml:space="preserve">Mahsoub HM, Evans NP, Beach NM, Yuan L, Zimmerman K, Pierson FW. 2017.</w:t>
      </w:r>
      <w:r>
        <w:t xml:space="preserve"> </w:t>
      </w:r>
      <w:hyperlink r:id="rId70">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71"/>
    <w:bookmarkStart w:id="73" w:name="ref-Snakemake2021"/>
    <w:p>
      <w:pPr>
        <w:pStyle w:val="Bibliography"/>
      </w:pPr>
      <w:r>
        <w:t xml:space="preserve">23.</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72">
        <w:r>
          <w:rPr>
            <w:rStyle w:val="Hyperlink"/>
          </w:rPr>
          <w:t xml:space="preserve">Sustainable data analysis with snakemake</w:t>
        </w:r>
      </w:hyperlink>
      <w:r>
        <w:t xml:space="preserve">. F1000Research 10:33.</w:t>
      </w:r>
    </w:p>
    <w:bookmarkEnd w:id="73"/>
    <w:bookmarkStart w:id="75" w:name="ref-Martin2011"/>
    <w:p>
      <w:pPr>
        <w:pStyle w:val="Bibliography"/>
      </w:pPr>
      <w:r>
        <w:t xml:space="preserve">24.</w:t>
      </w:r>
      <w:r>
        <w:t xml:space="preserve"> </w:t>
      </w:r>
      <w:r>
        <w:t xml:space="preserve">	</w:t>
      </w:r>
      <w:r>
        <w:t xml:space="preserve">Martin M. 2011.</w:t>
      </w:r>
      <w:r>
        <w:t xml:space="preserve"> </w:t>
      </w:r>
      <w:hyperlink r:id="rId74">
        <w:r>
          <w:rPr>
            <w:rStyle w:val="Hyperlink"/>
          </w:rPr>
          <w:t xml:space="preserve">Cutadapt removes adapter sequences from high-throughput sequencing reads</w:t>
        </w:r>
      </w:hyperlink>
      <w:r>
        <w:t xml:space="preserve">. EMBnetjournal 17:10.</w:t>
      </w:r>
    </w:p>
    <w:bookmarkEnd w:id="75"/>
    <w:bookmarkStart w:id="77" w:name="ref-ggplot2"/>
    <w:p>
      <w:pPr>
        <w:pStyle w:val="Bibliography"/>
      </w:pPr>
      <w:r>
        <w:t xml:space="preserve">25.</w:t>
      </w:r>
      <w:r>
        <w:t xml:space="preserve"> </w:t>
      </w:r>
      <w:r>
        <w:t xml:space="preserve">	</w:t>
      </w:r>
      <w:r>
        <w:t xml:space="preserve">Wickham H. 2016. ggplot2: Elegant graphics for data analysis. Springer-Verlag New York.</w:t>
      </w:r>
      <w:r>
        <w:t xml:space="preserve"> </w:t>
      </w:r>
      <w:hyperlink r:id="rId76">
        <w:r>
          <w:rPr>
            <w:rStyle w:val="Hyperlink"/>
          </w:rPr>
          <w:t xml:space="preserve">https://ggplot2.tidyverse.org</w:t>
        </w:r>
      </w:hyperlink>
      <w:r>
        <w:t xml:space="preserve">.</w:t>
      </w:r>
    </w:p>
    <w:bookmarkEnd w:id="77"/>
    <w:bookmarkStart w:id="79" w:name="ref-pheatmap"/>
    <w:p>
      <w:pPr>
        <w:pStyle w:val="Bibliography"/>
      </w:pPr>
      <w:r>
        <w:t xml:space="preserve">26.</w:t>
      </w:r>
      <w:r>
        <w:t xml:space="preserve"> </w:t>
      </w:r>
      <w:r>
        <w:t xml:space="preserve">	</w:t>
      </w:r>
      <w:r>
        <w:t xml:space="preserve">Kolde R. 2019. Pheatmap: Pretty heatmaps.</w:t>
      </w:r>
      <w:r>
        <w:t xml:space="preserve"> </w:t>
      </w:r>
      <w:hyperlink r:id="rId78">
        <w:r>
          <w:rPr>
            <w:rStyle w:val="Hyperlink"/>
          </w:rPr>
          <w:t xml:space="preserve">https://CRAN.R-project.org/package=pheatmap</w:t>
        </w:r>
      </w:hyperlink>
      <w:r>
        <w:t xml:space="preserve">.</w:t>
      </w:r>
    </w:p>
    <w:bookmarkEnd w:id="79"/>
    <w:bookmarkStart w:id="81" w:name="ref-ggvenn"/>
    <w:p>
      <w:pPr>
        <w:pStyle w:val="Bibliography"/>
      </w:pPr>
      <w:r>
        <w:t xml:space="preserve">27.</w:t>
      </w:r>
      <w:r>
        <w:t xml:space="preserve"> </w:t>
      </w:r>
      <w:r>
        <w:t xml:space="preserve">	</w:t>
      </w:r>
      <w:r>
        <w:t xml:space="preserve">Yan L. 2023. Ggvenn: Draw venn diagram by ’ggplot2’.</w:t>
      </w:r>
      <w:r>
        <w:t xml:space="preserve"> </w:t>
      </w:r>
      <w:hyperlink r:id="rId80">
        <w:r>
          <w:rPr>
            <w:rStyle w:val="Hyperlink"/>
          </w:rPr>
          <w:t xml:space="preserve">https://CRAN.R-project.org/package=ggvenn</w:t>
        </w:r>
      </w:hyperlink>
      <w:r>
        <w:t xml:space="preserve">.</w:t>
      </w:r>
    </w:p>
    <w:bookmarkEnd w:id="81"/>
    <w:bookmarkEnd w:id="82"/>
    <w:p>
      <w:r>
        <w:br w:type="page"/>
      </w:r>
    </w:p>
    <w:bookmarkEnd w:id="83"/>
    <w:bookmarkStart w:id="96"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84"/>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87"/>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9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6537960" cy="54483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93"/>
                    <a:stretch>
                      <a:fillRect/>
                    </a:stretch>
                  </pic:blipFill>
                  <pic:spPr bwMode="auto">
                    <a:xfrm>
                      <a:off x="0" y="0"/>
                      <a:ext cx="6537960" cy="54483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Raw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Trimmed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Uniquely Mapped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Non-uniquely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GC</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
            </w:r>
            <w:r>
              <w:rPr>
                <w:rFonts w:ascii="DejaVu Sans" w:hAnsi="DejaVu Sans" w:eastAsia="DejaVu Sans" w:cs="DejaVu Sans"/>
                <w:i w:val="false"/>
                <w:b w:val="false"/>
                <w:u w:val="none"/>
                <w:vertAlign w:val="superscript"/>
                <w:sz w:val="16"/>
                <w:szCs w:val="16"/>
                <w:color w:val="000000"/>
              </w:rPr>
              <w:t xml:space="preserve">M</w:t>
            </w:r>
            <w:r>
              <w:rPr>
                <w:rFonts w:ascii="DejaVu Sans" w:hAnsi="DejaVu Sans" w:eastAsia="DejaVu Sans" w:cs="DejaVu Sans"/>
                <w:i w:val="false"/>
                <w:b w:val="false"/>
                <w:u w:val="none"/>
                <w:sz w:val="16"/>
                <w:szCs w:val="16"/>
                <w:color w:val="000000"/>
              </w:rPr>
              <w:t xml:space="preserve">All values for number of reads are in millions</w:t>
            </w:r>
            <w:r>
              <w:rPr>
                <w:rFonts w:ascii="DejaVu Sans" w:hAnsi="DejaVu Sans" w:eastAsia="DejaVu Sans" w:cs="DejaVu Sans"/>
                <w:i w:val="false"/>
                <w:b w:val="false"/>
                <w:u w:val="none"/>
                <w:sz w:val="16"/>
                <w:szCs w:val="16"/>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Inf</w:t>
            </w:r>
            <w:r>
              <w:rPr>
                <w:rFonts w:ascii="DejaVu Sans" w:hAnsi="DejaVu Sans" w:eastAsia="DejaVu Sans" w:cs="DejaVu Sans"/>
                <w:i w:val="false"/>
                <w:b w:val="false"/>
                <w:u w:val="none"/>
                <w:sz w:val="16"/>
                <w:szCs w:val="16"/>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Mk</w:t>
            </w:r>
            <w:r>
              <w:rPr>
                <w:rFonts w:ascii="DejaVu Sans" w:hAnsi="DejaVu Sans" w:eastAsia="DejaVu Sans" w:cs="DejaVu Sans"/>
                <w:i w:val="false"/>
                <w:b w:val="false"/>
                <w:u w:val="none"/>
                <w:sz w:val="16"/>
                <w:szCs w:val="16"/>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supramolecular fiber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body46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5.42e-15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r>
      <w:tr>
        <w:trPr>
          <w:cantSplit/>
          <w:trHeight w:val="144" w:hRule="auto"/>
        </w:trPr>
        body70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regulator activator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6.71e-17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duplex unwinding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conformation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69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6.90e-19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7.34e-08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6.30e-07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r>
      <w:tr>
        <w:trPr>
          <w:cantSplit/>
          <w:trHeight w:val="144"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r>
      <w:tr>
        <w:trPr>
          <w:cantSplit/>
          <w:trHeight w:val="144" w:hRule="auto"/>
        </w:trPr>
        body123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r>
      <w:tr>
        <w:trPr>
          <w:cantSplit/>
          <w:trHeight w:val="144"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r>
      <w:tr>
        <w:trPr>
          <w:cantSplit/>
          <w:trHeight w:val="144"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anion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hydroxymethyl-, formyl- and related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body155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K48-linked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body45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body61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r>
      <w:tr>
        <w:trPr>
          <w:cantSplit/>
          <w:trHeight w:val="144" w:hRule="auto"/>
        </w:trPr>
        body70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r>
      <w:tr>
        <w:trPr>
          <w:cantSplit/>
          <w:trHeight w:val="144" w:hRule="auto"/>
        </w:trPr>
        body74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active monoatomic ion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phosphorylated amino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phosphotyrosine residue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body77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ion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9.87e-23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6.87e-07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430</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7.01e-16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8.65e-08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body100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5.85e-16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bl>
    <w:p>
      <w:r>
        <w:br w:type="page"/>
      </w:r>
    </w:p>
    <w:bookmarkEnd w:id="96"/>
    <w:bookmarkStart w:id="97" w:name="supplementary-informationmaterials"/>
    <w:p>
      <w:pPr>
        <w:pStyle w:val="Heading2"/>
      </w:pPr>
      <w:r>
        <w:t xml:space="preserve">SUPPLEMENTARY INFORMATION/MATERIALS</w:t>
      </w:r>
    </w:p>
    <w:bookmarkEnd w:id="9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84" Type="http://schemas.openxmlformats.org/officeDocument/2006/relationships/image" Target="media/rId84.png"/>
<Relationship Id="rId90" Type="http://schemas.openxmlformats.org/officeDocument/2006/relationships/image" Target="media/rId90.png"/>
<Relationship Id="rId93" Type="http://schemas.openxmlformats.org/officeDocument/2006/relationships/image" Target="media/rId93.png"/>
<Relationship Id="rId87" Type="http://schemas.openxmlformats.org/officeDocument/2006/relationships/image" Target="media/rId87.png"/>
<Relationship Id="rId37" Type="http://schemas.openxmlformats.org/officeDocument/2006/relationships/hyperlink" Target="http://scholar.lib.vt.edu/theses/available/etd-08142006-145339/" TargetMode="External"/>
<Relationship Id="rId80" Type="http://schemas.openxmlformats.org/officeDocument/2006/relationships/hyperlink" Target="https://CRAN.R-project.org/package=ggvenn" TargetMode="External"/>
<Relationship Id="rId78"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70"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39" Type="http://schemas.openxmlformats.org/officeDocument/2006/relationships/hyperlink" Target="https://doi.org/10.1080/01652176.2016.1277281" TargetMode="External"/>
<Relationship Id="rId63" Type="http://schemas.openxmlformats.org/officeDocument/2006/relationships/hyperlink" Target="https://doi.org/10.1093/nar/28.1.27" TargetMode="External"/>
<Relationship Id="rId34" Type="http://schemas.openxmlformats.org/officeDocument/2006/relationships/hyperlink" Target="https://doi.org/10.1099/vir.0.19497-0" TargetMode="External"/>
<Relationship Id="rId41" Type="http://schemas.openxmlformats.org/officeDocument/2006/relationships/hyperlink" Target="https://doi.org/10.1186/s12917-019-2138-8" TargetMode="External"/>
<Relationship Id="rId67" Type="http://schemas.openxmlformats.org/officeDocument/2006/relationships/hyperlink" Target="https://doi.org/10.1186/s13059-014-0550-8" TargetMode="External"/>
<Relationship Id="rId72" Type="http://schemas.openxmlformats.org/officeDocument/2006/relationships/hyperlink" Target="https://doi.org/10.12688/f1000research.29032.2" TargetMode="External"/>
<Relationship Id="rId74"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76"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80" Type="http://schemas.openxmlformats.org/officeDocument/2006/relationships/hyperlink" Target="https://CRAN.R-project.org/package=ggvenn" TargetMode="External"/>
<Relationship Id="rId78"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70"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39" Type="http://schemas.openxmlformats.org/officeDocument/2006/relationships/hyperlink" Target="https://doi.org/10.1080/01652176.2016.1277281" TargetMode="External"/>
<Relationship Id="rId63" Type="http://schemas.openxmlformats.org/officeDocument/2006/relationships/hyperlink" Target="https://doi.org/10.1093/nar/28.1.27" TargetMode="External"/>
<Relationship Id="rId34" Type="http://schemas.openxmlformats.org/officeDocument/2006/relationships/hyperlink" Target="https://doi.org/10.1099/vir.0.19497-0" TargetMode="External"/>
<Relationship Id="rId41" Type="http://schemas.openxmlformats.org/officeDocument/2006/relationships/hyperlink" Target="https://doi.org/10.1186/s12917-019-2138-8" TargetMode="External"/>
<Relationship Id="rId67" Type="http://schemas.openxmlformats.org/officeDocument/2006/relationships/hyperlink" Target="https://doi.org/10.1186/s13059-014-0550-8" TargetMode="External"/>
<Relationship Id="rId72" Type="http://schemas.openxmlformats.org/officeDocument/2006/relationships/hyperlink" Target="https://doi.org/10.12688/f1000research.29032.2" TargetMode="External"/>
<Relationship Id="rId74"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76"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Transcriptome Profile of a Turkey B-cell Line Upon Infection With Turkey Hemorrhagic Enteritis Virus</dc:title>
  <dc:creator/>
  <cp:keywords/>
  <dcterms:created xsi:type="dcterms:W3CDTF">2024-06-28T04:14:59Z</dcterms:created>
  <dcterms:modified xsi:type="dcterms:W3CDTF">2024-06-27T22:15:00Z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